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F0B" w:rsidRDefault="00290C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край. Количество умерших в возрастных интервалах 20-59лет и 60-79лет</w:t>
      </w:r>
      <w:r w:rsidR="00A83B7B">
        <w:rPr>
          <w:b/>
          <w:sz w:val="28"/>
          <w:szCs w:val="28"/>
        </w:rPr>
        <w:t xml:space="preserve"> </w:t>
      </w:r>
      <w:r w:rsidR="00800599">
        <w:rPr>
          <w:b/>
          <w:sz w:val="28"/>
          <w:szCs w:val="28"/>
        </w:rPr>
        <w:t xml:space="preserve">(рассчитано </w:t>
      </w:r>
      <w:r w:rsidR="00A83B7B">
        <w:rPr>
          <w:b/>
          <w:sz w:val="28"/>
          <w:szCs w:val="28"/>
        </w:rPr>
        <w:t>среднее значение за периоды 1985-1988гг и 2016-2019гг</w:t>
      </w:r>
      <w:r w:rsidR="00800599">
        <w:rPr>
          <w:b/>
          <w:sz w:val="28"/>
          <w:szCs w:val="28"/>
        </w:rPr>
        <w:t>)</w:t>
      </w:r>
      <w:r w:rsidR="00A83B7B">
        <w:rPr>
          <w:b/>
          <w:sz w:val="28"/>
          <w:szCs w:val="28"/>
        </w:rPr>
        <w:t>,</w:t>
      </w:r>
      <w:r w:rsidR="001476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чел.</w:t>
      </w:r>
      <w:bookmarkStart w:id="0" w:name="_GoBack"/>
      <w:bookmarkEnd w:id="0"/>
    </w:p>
    <w:p w:rsidR="00290CB3" w:rsidRDefault="00D2258F">
      <w:pPr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softHyphen/>
      </w:r>
      <w:r w:rsidR="00290CB3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9128760" cy="4914900"/>
            <wp:effectExtent l="0" t="0" r="152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2258F" w:rsidRDefault="00D2258F">
      <w:pPr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Смертность в возрастном интервале 20-59лет в период 2016-2019гг выше на </w:t>
      </w:r>
      <w:r w:rsidRPr="00800599">
        <w:rPr>
          <w:b/>
          <w:noProof/>
          <w:color w:val="FF0000"/>
          <w:sz w:val="32"/>
          <w:szCs w:val="28"/>
          <w:lang w:eastAsia="ru-RU"/>
        </w:rPr>
        <w:t>12%</w:t>
      </w:r>
      <w:r w:rsidRPr="00800599">
        <w:rPr>
          <w:b/>
          <w:noProof/>
          <w:color w:val="FF0000"/>
          <w:sz w:val="28"/>
          <w:szCs w:val="28"/>
          <w:lang w:eastAsia="ru-RU"/>
        </w:rPr>
        <w:t xml:space="preserve"> </w:t>
      </w:r>
      <w:r>
        <w:rPr>
          <w:b/>
          <w:noProof/>
          <w:sz w:val="28"/>
          <w:szCs w:val="28"/>
          <w:lang w:eastAsia="ru-RU"/>
        </w:rPr>
        <w:t>относительно периода антиалкогольной кампании 1985-1988гг. Смертность в возрастном интервале 60-79лет</w:t>
      </w:r>
      <w:r w:rsidR="00800599">
        <w:rPr>
          <w:b/>
          <w:noProof/>
          <w:sz w:val="28"/>
          <w:szCs w:val="28"/>
          <w:lang w:eastAsia="ru-RU"/>
        </w:rPr>
        <w:t xml:space="preserve"> в период 2016-2019гг</w:t>
      </w:r>
      <w:r>
        <w:rPr>
          <w:b/>
          <w:noProof/>
          <w:sz w:val="28"/>
          <w:szCs w:val="28"/>
          <w:lang w:eastAsia="ru-RU"/>
        </w:rPr>
        <w:t xml:space="preserve"> выше</w:t>
      </w:r>
      <w:r w:rsidR="00800599">
        <w:rPr>
          <w:b/>
          <w:noProof/>
          <w:sz w:val="28"/>
          <w:szCs w:val="28"/>
          <w:lang w:eastAsia="ru-RU"/>
        </w:rPr>
        <w:t xml:space="preserve"> на </w:t>
      </w:r>
      <w:r w:rsidR="00800599" w:rsidRPr="00800599">
        <w:rPr>
          <w:b/>
          <w:noProof/>
          <w:color w:val="FF0000"/>
          <w:sz w:val="32"/>
          <w:szCs w:val="32"/>
          <w:lang w:eastAsia="ru-RU"/>
        </w:rPr>
        <w:t>45%</w:t>
      </w:r>
      <w:r w:rsidR="00800599">
        <w:rPr>
          <w:b/>
          <w:noProof/>
          <w:sz w:val="28"/>
          <w:szCs w:val="28"/>
          <w:lang w:eastAsia="ru-RU"/>
        </w:rPr>
        <w:t xml:space="preserve"> относительно периода антиалкогольной кампании 1985-1988гг.</w:t>
      </w:r>
      <w:r>
        <w:rPr>
          <w:b/>
          <w:noProof/>
          <w:sz w:val="28"/>
          <w:szCs w:val="28"/>
          <w:lang w:eastAsia="ru-RU"/>
        </w:rPr>
        <w:t xml:space="preserve"> </w:t>
      </w:r>
    </w:p>
    <w:p w:rsidR="00D2258F" w:rsidRPr="00290CB3" w:rsidRDefault="00D2258F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t xml:space="preserve">  </w:t>
      </w:r>
    </w:p>
    <w:sectPr w:rsidR="00D2258F" w:rsidRPr="00290CB3" w:rsidSect="00290CB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9F"/>
    <w:rsid w:val="001476B3"/>
    <w:rsid w:val="00262F0B"/>
    <w:rsid w:val="00290CB3"/>
    <w:rsid w:val="007858FE"/>
    <w:rsid w:val="00800599"/>
    <w:rsid w:val="00865A9F"/>
    <w:rsid w:val="00A83B7B"/>
    <w:rsid w:val="00D2258F"/>
    <w:rsid w:val="00DF3FBE"/>
    <w:rsid w:val="00E8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ED65F-9A24-42A4-AC6A-1FBD6216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02838063439065E-2"/>
          <c:y val="5.9630292188431726E-3"/>
          <c:w val="0.9176683361157485"/>
          <c:h val="0.8109851205987443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1985-1988гг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dLbls>
            <c:dLbl>
              <c:idx val="0"/>
              <c:layout>
                <c:manualLayout>
                  <c:x val="-3.1566499721758512E-2"/>
                  <c:y val="4.309791106165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20 - 59 лет</c:v>
                </c:pt>
                <c:pt idx="1">
                  <c:v>60 - 79 лет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9483</c:v>
                </c:pt>
                <c:pt idx="1">
                  <c:v>10501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2016-2019гг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20 - 59 лет</c:v>
                </c:pt>
                <c:pt idx="1">
                  <c:v>60 - 79 лет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10404</c:v>
                </c:pt>
                <c:pt idx="1">
                  <c:v>14895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20 - 59 лет</c:v>
                </c:pt>
                <c:pt idx="1">
                  <c:v>60 - 79 лет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7973952"/>
        <c:axId val="367973168"/>
      </c:lineChart>
      <c:catAx>
        <c:axId val="3679739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7973168"/>
        <c:crosses val="autoZero"/>
        <c:auto val="1"/>
        <c:lblAlgn val="ctr"/>
        <c:lblOffset val="100"/>
        <c:noMultiLvlLbl val="0"/>
      </c:catAx>
      <c:valAx>
        <c:axId val="367973168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/>
                  <a:t>Количество умерших, чел.</a:t>
                </a:r>
              </a:p>
              <a:p>
                <a:pPr>
                  <a:defRPr sz="1200"/>
                </a:pPr>
                <a:r>
                  <a:rPr lang="ru-RU" sz="1200"/>
                  <a:t>среднее значение за периоды</a:t>
                </a:r>
              </a:p>
              <a:p>
                <a:pPr>
                  <a:defRPr sz="1200"/>
                </a:pPr>
                <a:endParaRPr lang="ru-RU" sz="1200" b="1"/>
              </a:p>
              <a:p>
                <a:pPr>
                  <a:defRPr sz="1200"/>
                </a:pPr>
                <a:endParaRPr lang="ru-RU" sz="1200"/>
              </a:p>
            </c:rich>
          </c:tx>
          <c:layout>
            <c:manualLayout>
              <c:xMode val="edge"/>
              <c:yMode val="edge"/>
              <c:x val="2.2259321090706732E-2"/>
              <c:y val="0.1351511181853609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367973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41882851559247919"/>
          <c:y val="0.26237328562909956"/>
          <c:w val="0.15855592654424039"/>
          <c:h val="5.92221611833404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0.44073</cdr:x>
      <cdr:y>0.02504</cdr:y>
    </cdr:from>
    <cdr:to>
      <cdr:x>0.56678</cdr:x>
      <cdr:y>0.10197</cdr:y>
    </cdr:to>
    <cdr:sp macro="" textlink="">
      <cdr:nvSpPr>
        <cdr:cNvPr id="2" name="Надпись 1"/>
        <cdr:cNvSpPr txBox="1"/>
      </cdr:nvSpPr>
      <cdr:spPr>
        <a:xfrm xmlns:a="http://schemas.openxmlformats.org/drawingml/2006/main">
          <a:off x="4023360" y="106680"/>
          <a:ext cx="1150620" cy="3276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0.43573</cdr:x>
      <cdr:y>0.03041</cdr:y>
    </cdr:from>
    <cdr:to>
      <cdr:x>0.58264</cdr:x>
      <cdr:y>0.10912</cdr:y>
    </cdr:to>
    <cdr:sp macro="" textlink="">
      <cdr:nvSpPr>
        <cdr:cNvPr id="3" name="Надпись 2"/>
        <cdr:cNvSpPr txBox="1"/>
      </cdr:nvSpPr>
      <cdr:spPr>
        <a:xfrm xmlns:a="http://schemas.openxmlformats.org/drawingml/2006/main">
          <a:off x="3977640" y="129540"/>
          <a:ext cx="1341120" cy="3352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400" b="1">
              <a:solidFill>
                <a:schemeClr val="accent2"/>
              </a:solidFill>
              <a:latin typeface="+mn-lt"/>
            </a:rPr>
            <a:t>--</a:t>
          </a:r>
          <a:r>
            <a:rPr lang="ru-RU" sz="1400" b="1">
              <a:latin typeface="+mn-lt"/>
            </a:rPr>
            <a:t>2016</a:t>
          </a:r>
          <a:r>
            <a:rPr lang="ru-RU" sz="1400" b="1" baseline="0">
              <a:latin typeface="+mn-lt"/>
            </a:rPr>
            <a:t>-2019гг</a:t>
          </a:r>
          <a:endParaRPr lang="ru-RU" sz="1400" b="1">
            <a:latin typeface="+mn-lt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2024-10-17T05:35:00Z</dcterms:created>
  <dcterms:modified xsi:type="dcterms:W3CDTF">2024-10-17T06:44:00Z</dcterms:modified>
</cp:coreProperties>
</file>