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проекту Закона Красноярского края «О внесении изменений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 Закон края «Об отдельных вопросах государственного регулирования в сфере производства и оборота этилового спирта, алкогольной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 спиртосодержащей продукции»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 закона Красноярского края «О внесении изменений в Закон края «Об отдельных вопросах государственного регулирования в сфере производства и оборота этилового спирта, алкогольной и спиртосодержащей продукции» (далее – законопроект, Закон края) разработан в соответствии</w:t>
        <w:br/>
        <w:t>с полномочиями, предоставленными субъекту российской Федерацией Федеральным законом от 22.11.1995 № 171-ФЗ «О государственном регулировании производства и оборота этилового спирта, алкогольной</w:t>
        <w:br/>
        <w:t>и спиртосодержащей продукции и об ограничении потребления (распития) алкогольной продукции» (далее – Федеральный закон № 171-ФЗ).</w:t>
      </w:r>
    </w:p>
    <w:p>
      <w:pPr>
        <w:pStyle w:val="Normal"/>
        <w:pBdr/>
        <w:spacing w:lineRule="atLeast" w:line="288" w:before="0" w:after="0"/>
        <w:ind w:firstLine="54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 абзацем вторым пункта 9 статьи 16 Федерального закона № 171-ФЗ органы государственной власти субъектов Российской Федерации вправе устанавливать дополнительные ограничения времени, условий и мест розничной продажи алкогольной продукции,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том числе полный запрет на розничную продажу алкогольной продукции,</w:t>
        <w:br/>
        <w:t xml:space="preserve">за исключением розничной продажи алкогольной продукции при оказании услуг общественного питания, если иное не установлено статьей 16 </w:t>
      </w:r>
      <w:r>
        <w:rPr>
          <w:rFonts w:cs="Times New Roman" w:ascii="Times New Roman" w:hAnsi="Times New Roman"/>
          <w:sz w:val="28"/>
          <w:szCs w:val="28"/>
        </w:rPr>
        <w:t>Федерального закона № 171-ФЗ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Законопроектом предлагается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дополнить Закон края статьей 2.1, предусматривающей, что на территории края не допускается розничная продажа алкогольной продукции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, за исключением розничной продажи алкогольной продукции при оказании услуг общественного питания</w:t>
      </w:r>
      <w:r>
        <w:rPr>
          <w:rFonts w:eastAsia="Times New Roman" w:cs="Times New Roman" w:ascii="Times New Roman" w:hAnsi="Times New Roman"/>
          <w:sz w:val="28"/>
          <w:szCs w:val="28"/>
        </w:rPr>
        <w:t>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 21 часа до 10 часов в торговых объектах, расположенных</w:t>
        <w:br/>
        <w:t xml:space="preserve">в многоквартирных домах, в том числе встроенных, встроенно-пристроенных в многоквартирный дом, пристроенных к многоквартирному дому;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Международный день защиты детей (1 июня)</w:t>
        <w:br/>
        <w:t xml:space="preserve">и в День знаний (1 сентября).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указанные даты на территории края не фиксируется рост потребления алкогольной продукции, однако в эти дни, как правило, организуются массовые развлекательные мероприятия для детей и подростков.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Предлагаемые законопроектом ограничения направлены на сокращение времени торговли алкогольной продукцией, снижение шаговой доступности алкогольной продукции для населения, а также снятия социальной напряженности в рассматриваемой сфере общественных отношений </w:t>
        <w:br/>
        <w:t>в условиях приоритетности защиты жизни и здоровья граждан, прав жителей</w:t>
        <w:br/>
        <w:t>на комфортную среду.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По состоянию на 01.12.2024 запрет на розничную продажу алкогольной продукции (за исключением розничной продажи алкогольной продукции</w:t>
        <w:br/>
        <w:t>при оказании услуг общественного питания) в определенные дни установлен</w:t>
        <w:br/>
        <w:t>в 56 субъектах Российской Федерации. Дополнительные ограничения времени розничной продажи алкогольной продукции (за исключением розничной продажи алкогольной продукции при оказании услуг общественного питания) установлены в 57 субъектах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Федеральным законом от 29.05.2024 № 102-ФЗ «О внесении 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статью 2 Федерального закона «О внесении изменений</w:t>
        <w:br/>
        <w:t>в Федеральный закон «О государственном регулировании производства</w:t>
        <w:br/>
        <w:t>и оборота этилового спирта, алкогольной и спиртосодержащей продукции</w:t>
        <w:br/>
        <w:t xml:space="preserve">и об ограничении потребления (распития) алкогольной продукции» внесены изменения, </w:t>
      </w:r>
      <w:r>
        <w:rPr>
          <w:rFonts w:cs="Times New Roman" w:ascii="Times New Roman" w:hAnsi="Times New Roman"/>
          <w:bCs/>
          <w:sz w:val="28"/>
          <w:szCs w:val="28"/>
        </w:rPr>
        <w:t>позволяющие осуществлять розничную продажу алкогольной продукции в сезонном зале (зоне) обслуживания посетителей.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абзацем шестым пункта 4 статьи 16 Федерального закона № 171-ФЗ розничная продажа алкогольной продукции при оказании услуг общественного питания может осуществляться в сезонном зале (зоне) обслуживания посетителей при условии соблюдения требований к розничной продаже алкогольной продукции при оказании услуг общественного питания, установленных Федеральным законом № 171-ФЗ, а также при наличии документа, выданного в соответствии с законодательством субъектов Российской Федерации и подтверждающего соответствие сезонного зала (зоны) обслуживания посетителей требованиям к размещению и обустройству сезонных залов (зон) обслуживания посетителей, установленным законодательством субъектов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В этой связи законопроектом предлагается: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дополнить статью 3.4 Закона края положениями, предусматривающими, что на территории края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розничная продажа алкогольной продукции при оказании услуг общественного питания может осуществляться в сезонном зале (зоне) обслуживания посетителей при условии соблюдения требований к размещению и обустройству сезонных залов (зон) обслуживания посетителей, а также при наличии документа, подтверждающего соответствие сезонного зала (зоны) обслуживания посетителей таким требованиям</w:t>
      </w:r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установить требования к розничной продаже алкогольной продукции при оказании услуг общественного питания в сезонном зале (зоне) обслуживания посетителей;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полномочие по выдаче, утверждению порядка выдачи и формы документа, подтверждающего соответствие сезонного зала (зоны) обслуживания посетителей требованиям к размещению и обустройству сезонных залов (зон) обслуживания посетителей, закрепить</w:t>
        <w:br/>
        <w:t>за исполнительным органом края в сфере государственного регулирования производства и оборота этилового спирта.</w:t>
      </w:r>
    </w:p>
    <w:p>
      <w:pPr>
        <w:pStyle w:val="ConsPlusTitle"/>
        <w:ind w:firstLine="709"/>
        <w:jc w:val="both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Письмом Министерства финансов Российской Федерации от 15.07.2024 № 27-05-09/65744 субъектам Российской Федерации рекомендовано</w:t>
        <w:br/>
        <w:t>при подготовке требований к размещению и обустройству сезонных залов (зон) обслуживания посетителей, в которых может осуществляться розничная продажа алкогольной продукции при оказании услуг общественного питания, использовать практику установления аналогичных требований иными субъектами Российской Федерации.</w:t>
      </w:r>
    </w:p>
    <w:p>
      <w:pPr>
        <w:pStyle w:val="ConsPlusTitle"/>
        <w:ind w:firstLine="709"/>
        <w:jc w:val="both"/>
        <w:rPr>
          <w:rFonts w:ascii="Times New Roman" w:hAnsi="Times New Roman" w:cs="Times New Roman"/>
          <w:b w:val="false"/>
          <w:bCs w:val="false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Требования к размещению и обустройству сезонных залов (зон) обслуживания посетителей, в которых может осуществляться розничная продажа алкогольной продукции при оказании услуг общественного питания, на территории Красноярского края подготовлены с учетом установления аналогичных требований другими субъектами Российской Федерации (Амурская область, Иркутская область, Брянская область, Московская область, Калининградская область, города Москвы, Саратовская область).</w:t>
        <w:br/>
      </w:r>
      <w:r>
        <w:rPr>
          <w:rFonts w:cs="Times New Roman" w:ascii="Times New Roman" w:hAnsi="Times New Roman"/>
          <w:b w:val="false"/>
          <w:bCs w:val="false"/>
          <w:color w:themeColor="text1" w:val="000000"/>
          <w:sz w:val="28"/>
          <w:szCs w:val="28"/>
        </w:rPr>
        <w:tab/>
        <w:t xml:space="preserve">3. Согласно </w:t>
      </w:r>
      <w:hyperlink r:id="rId2" w:tgtFrame="https://login.consultant.ru/link/?req=doc&amp;base=LAW&amp;n=414889&amp;dst=2">
        <w:r>
          <w:rPr>
            <w:rStyle w:val="ListLabel37"/>
            <w:rFonts w:cs="Times New Roman" w:ascii="Times New Roman" w:hAnsi="Times New Roman"/>
            <w:b w:val="false"/>
            <w:bCs w:val="false"/>
            <w:color w:themeColor="text1" w:val="000000"/>
            <w:sz w:val="28"/>
            <w:szCs w:val="28"/>
          </w:rPr>
          <w:t>части 1 статьи 3</w:t>
        </w:r>
      </w:hyperlink>
      <w:r>
        <w:rPr>
          <w:rFonts w:cs="Times New Roman" w:ascii="Times New Roman" w:hAnsi="Times New Roman"/>
          <w:b w:val="false"/>
          <w:bCs w:val="false"/>
          <w:color w:themeColor="text1" w:val="000000"/>
          <w:sz w:val="28"/>
          <w:szCs w:val="28"/>
        </w:rPr>
        <w:t xml:space="preserve"> Федерального закона от 31.07.2020</w:t>
        <w:br/>
        <w:t>№ 247-ФЗ «Об обязательных требованиях в Российской Федерации» положения нормативных правовых актов, устанавливающих обязательные требования, должны вступать в силу либо с 1 марта, либо с 1 сентября соответствующего года, но не ранее чем по истечении девяноста дней после дня официального опубликования соответствующего нормативного правового акта.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этой связи вступление в силу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положений </w:t>
      </w:r>
      <w:r>
        <w:rPr>
          <w:rFonts w:cs="Times New Roman" w:ascii="Times New Roman" w:hAnsi="Times New Roman"/>
          <w:sz w:val="28"/>
          <w:szCs w:val="28"/>
        </w:rPr>
        <w:t>пунктов 3, 5</w:t>
      </w:r>
      <w:r>
        <w:rPr>
          <w:rFonts w:eastAsia="Calibri" w:cs="Times New Roman" w:ascii="Times New Roman" w:hAnsi="Times New Roman"/>
          <w:sz w:val="28"/>
          <w:szCs w:val="28"/>
        </w:rPr>
        <w:t xml:space="preserve"> статьи 1 законопроекта, устанавливающих для хозяйствующих субъектов дополнительные ограничения розничной продажи алкогольной продукции и требования к </w:t>
      </w:r>
      <w:r>
        <w:rPr>
          <w:rFonts w:cs="Times New Roman" w:ascii="Times New Roman" w:hAnsi="Times New Roman"/>
          <w:sz w:val="28"/>
          <w:szCs w:val="28"/>
        </w:rPr>
        <w:t xml:space="preserve">размещению и обустройству </w:t>
      </w:r>
      <w:r>
        <w:rPr>
          <w:rFonts w:eastAsia="Calibri" w:cs="Times New Roman" w:ascii="Times New Roman" w:hAnsi="Times New Roman"/>
          <w:sz w:val="28"/>
          <w:szCs w:val="28"/>
        </w:rPr>
        <w:t>сезонных залов (зон) обслуживания посетителей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color w:val="000000"/>
          <w:sz w:val="28"/>
          <w:szCs w:val="28"/>
        </w:rPr>
        <w:t>в которых может осуществляться розничная продажа алкогольной продукции при оказании услуг общественного питания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, предусматривается с </w:t>
      </w:r>
      <w:r>
        <w:rPr>
          <w:rFonts w:cs="Times New Roman" w:ascii="Times New Roman" w:hAnsi="Times New Roman"/>
          <w:sz w:val="28"/>
          <w:szCs w:val="28"/>
        </w:rPr>
        <w:t>1 сентября 2025 года.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4. В соответствии с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Федеральным законом от 21.12.2021 № 414-ФЗ</w:t>
        <w:br/>
        <w:t>«Об общих принципах организации публичной власти в субъектах Российской Федерации» законопроектом также предлагается скорректировать терминологию, заменив в статьях 1, 2 Закона края слова «органы исполнительной власти»  на «исполнительные органы».</w:t>
      </w:r>
    </w:p>
    <w:p>
      <w:pPr>
        <w:pStyle w:val="ConsPlusNormal1"/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CG Time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847392448"/>
    </w:sdtPr>
    <w:sdtContent>
      <w:p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3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9" w:customStyle="1">
    <w:name w:val="Текст концевой сноски Знак"/>
    <w:uiPriority w:val="99"/>
    <w:qFormat/>
    <w:rPr>
      <w:sz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Style10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ConsPlusNormal" w:customStyle="1">
    <w:name w:val="ConsPlusNormal Знак"/>
    <w:basedOn w:val="DefaultParagraphFont"/>
    <w:link w:val="ConsPlusNormal1"/>
    <w:qFormat/>
    <w:rPr>
      <w:rFonts w:ascii="Arial" w:hAnsi="Arial" w:eastAsia="Calibri" w:cs="Arial"/>
      <w:sz w:val="20"/>
      <w:szCs w:val="20"/>
      <w:lang w:eastAsia="ru-RU"/>
    </w:rPr>
  </w:style>
  <w:style w:type="character" w:styleId="Style11" w:customStyle="1">
    <w:name w:val="Верхний колонтитул Знак"/>
    <w:basedOn w:val="DefaultParagraphFont"/>
    <w:uiPriority w:val="99"/>
    <w:qFormat/>
    <w:rPr/>
  </w:style>
  <w:style w:type="character" w:styleId="Style12" w:customStyle="1">
    <w:name w:val="Нижний колонтитул Знак"/>
    <w:basedOn w:val="DefaultParagraphFont"/>
    <w:uiPriority w:val="99"/>
    <w:qFormat/>
    <w:rPr/>
  </w:style>
  <w:style w:type="character" w:styleId="InternetLink">
    <w:name w:val="Internet Link"/>
    <w:uiPriority w:val="99"/>
    <w:unhideWhenUsed/>
    <w:qFormat/>
    <w:rPr>
      <w:color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Droid Sans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themeColor="accent1" w:val="4F81BD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ascii="Times New Roman" w:hAnsi="Times New Roman" w:cs="Droid Sans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3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BalloonText">
    <w:name w:val="Balloon Text"/>
    <w:basedOn w:val="Normal"/>
    <w:link w:val="Style10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1" w:customStyle="1">
    <w:name w:val="ConsPlusNormal"/>
    <w:link w:val="ConsPlusNormal"/>
    <w:qFormat/>
    <w:pPr>
      <w:widowControl/>
      <w:bidi w:val="0"/>
      <w:spacing w:lineRule="auto" w:line="240" w:before="0" w:after="0"/>
      <w:jc w:val="left"/>
    </w:pPr>
    <w:rPr>
      <w:rFonts w:ascii="Arial" w:hAnsi="Arial" w:eastAsia="Calibri" w:cs="Arial" w:cstheme="minorBidi" w:eastAsiaTheme="minorHAnsi"/>
      <w:color w:val="auto"/>
      <w:kern w:val="0"/>
      <w:sz w:val="20"/>
      <w:szCs w:val="20"/>
      <w:lang w:eastAsia="ru-RU" w:val="ru-RU" w:bidi="ar-SA"/>
    </w:rPr>
  </w:style>
  <w:style w:type="paragraph" w:styleId="11" w:customStyle="1">
    <w:name w:val="Обычный1"/>
    <w:qFormat/>
    <w:pPr>
      <w:widowControl/>
      <w:bidi w:val="0"/>
      <w:spacing w:lineRule="auto" w:line="240" w:before="0" w:after="0"/>
      <w:jc w:val="left"/>
    </w:pPr>
    <w:rPr>
      <w:rFonts w:ascii="CG Times" w:hAnsi="CG Times" w:eastAsia="Times New Roman" w:cs="CG Times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1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2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 w:cstheme="minorBidi"/>
      <w:b/>
      <w:bCs/>
      <w:color w:val="auto"/>
      <w:kern w:val="0"/>
      <w:sz w:val="20"/>
      <w:szCs w:val="20"/>
      <w:lang w:eastAsia="ru-RU" w:val="ru-RU" w:bidi="ar-SA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14889&amp;dst=2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LibreOffice/24.2.6.2$Linux_X86_64 LibreOffice_project/420$Build-2</Application>
  <AppVersion>15.0000</AppVersion>
  <Pages>3</Pages>
  <Words>873</Words>
  <Characters>6443</Characters>
  <CharactersWithSpaces>7306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2025-03-20T06:13:00Z</dcterms:created>
  <dc:creator>Юрий М. Станкус</dc:creator>
  <dc:description/>
  <dc:language>ru-RU</dc:language>
  <cp:lastModifiedBy/>
  <dcterms:modified xsi:type="dcterms:W3CDTF">2025-04-28T17:28:18Z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